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CB083" w14:textId="77777777" w:rsidR="00326FA7" w:rsidRPr="000772B3" w:rsidRDefault="000265FE" w:rsidP="000772B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Segon-Marill </w:t>
      </w:r>
      <w:r w:rsidR="006953FB" w:rsidRPr="006953FB">
        <w:rPr>
          <w:b/>
          <w:bCs/>
          <w:sz w:val="36"/>
          <w:szCs w:val="36"/>
        </w:rPr>
        <w:t xml:space="preserve">Cyber </w:t>
      </w:r>
      <w:r>
        <w:rPr>
          <w:b/>
          <w:bCs/>
          <w:sz w:val="36"/>
          <w:szCs w:val="36"/>
        </w:rPr>
        <w:t>S</w:t>
      </w:r>
      <w:r w:rsidR="006953FB" w:rsidRPr="006953FB">
        <w:rPr>
          <w:b/>
          <w:bCs/>
          <w:sz w:val="36"/>
          <w:szCs w:val="36"/>
        </w:rPr>
        <w:t xml:space="preserve">ecurity </w:t>
      </w:r>
      <w:r>
        <w:rPr>
          <w:b/>
          <w:bCs/>
          <w:sz w:val="36"/>
          <w:szCs w:val="36"/>
        </w:rPr>
        <w:t>Polic</w:t>
      </w:r>
      <w:r w:rsidR="000772B3">
        <w:rPr>
          <w:b/>
          <w:bCs/>
          <w:sz w:val="36"/>
          <w:szCs w:val="36"/>
        </w:rPr>
        <w:t>ies</w:t>
      </w:r>
    </w:p>
    <w:p w14:paraId="0B2C7CF7" w14:textId="77777777" w:rsidR="00FF4A0B" w:rsidRPr="00FF4A0B" w:rsidRDefault="00326FA7" w:rsidP="00FF4A0B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0772B3">
        <w:rPr>
          <w:rFonts w:ascii="Times New Roman" w:hAnsi="Times New Roman" w:cs="Times New Roman"/>
          <w:b/>
          <w:bCs/>
          <w:color w:val="2E2E38"/>
          <w:sz w:val="24"/>
          <w:szCs w:val="24"/>
        </w:rPr>
        <w:t>Access control policy:</w:t>
      </w:r>
      <w:r w:rsidRPr="00326FA7">
        <w:rPr>
          <w:rFonts w:ascii="Times New Roman" w:hAnsi="Times New Roman" w:cs="Times New Roman"/>
          <w:color w:val="2E2E38"/>
          <w:sz w:val="24"/>
          <w:szCs w:val="24"/>
        </w:rPr>
        <w:t xml:space="preserve"> </w:t>
      </w:r>
      <w:r w:rsidR="0067358F">
        <w:rPr>
          <w:rFonts w:ascii="Times New Roman" w:hAnsi="Times New Roman" w:cs="Times New Roman"/>
          <w:color w:val="2E2E38"/>
          <w:sz w:val="24"/>
          <w:szCs w:val="24"/>
        </w:rPr>
        <w:t>Segon-Marill International Movers Plc.</w:t>
      </w:r>
      <w:r w:rsidRPr="00326FA7">
        <w:rPr>
          <w:rFonts w:ascii="Times New Roman" w:hAnsi="Times New Roman" w:cs="Times New Roman"/>
          <w:color w:val="2E2E38"/>
          <w:sz w:val="24"/>
          <w:szCs w:val="24"/>
        </w:rPr>
        <w:t xml:space="preserve"> specified </w:t>
      </w:r>
      <w:r w:rsidR="008132EB">
        <w:rPr>
          <w:rFonts w:ascii="Times New Roman" w:hAnsi="Times New Roman" w:cs="Times New Roman"/>
          <w:color w:val="2E2E38"/>
          <w:sz w:val="24"/>
          <w:szCs w:val="24"/>
        </w:rPr>
        <w:t>role-based</w:t>
      </w:r>
      <w:r w:rsidR="00FF4A0B">
        <w:rPr>
          <w:rFonts w:ascii="Times New Roman" w:hAnsi="Times New Roman" w:cs="Times New Roman"/>
          <w:color w:val="2E2E38"/>
          <w:sz w:val="24"/>
          <w:szCs w:val="24"/>
        </w:rPr>
        <w:t xml:space="preserve"> access control (RBAC) </w:t>
      </w:r>
      <w:r w:rsidRPr="00326FA7">
        <w:rPr>
          <w:rFonts w:ascii="Times New Roman" w:hAnsi="Times New Roman" w:cs="Times New Roman"/>
          <w:color w:val="2E2E38"/>
          <w:sz w:val="24"/>
          <w:szCs w:val="24"/>
        </w:rPr>
        <w:t>within an organization.</w:t>
      </w:r>
      <w:r w:rsidR="00FF4A0B">
        <w:rPr>
          <w:rFonts w:ascii="Times New Roman" w:hAnsi="Times New Roman" w:cs="Times New Roman"/>
          <w:color w:val="2E2E38"/>
          <w:sz w:val="24"/>
          <w:szCs w:val="24"/>
        </w:rPr>
        <w:t xml:space="preserve"> Based on this staffs of the company privileged with:</w:t>
      </w:r>
    </w:p>
    <w:p w14:paraId="44C2CE72" w14:textId="77777777" w:rsidR="006118F9" w:rsidRPr="00463A58" w:rsidRDefault="00FF4A0B" w:rsidP="006118F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463A58">
        <w:rPr>
          <w:rFonts w:ascii="Times New Roman" w:hAnsi="Times New Roman" w:cs="Times New Roman"/>
          <w:color w:val="2E2E38"/>
          <w:sz w:val="24"/>
          <w:szCs w:val="24"/>
        </w:rPr>
        <w:t>Administrative access</w:t>
      </w:r>
    </w:p>
    <w:p w14:paraId="0076C688" w14:textId="77777777" w:rsidR="00FF4A0B" w:rsidRPr="00463A58" w:rsidRDefault="00FF4A0B" w:rsidP="006118F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463A58">
        <w:rPr>
          <w:rFonts w:ascii="Times New Roman" w:hAnsi="Times New Roman" w:cs="Times New Roman"/>
          <w:color w:val="2E2E38"/>
          <w:sz w:val="24"/>
          <w:szCs w:val="24"/>
        </w:rPr>
        <w:t>Operational Access</w:t>
      </w:r>
    </w:p>
    <w:p w14:paraId="67AAFE16" w14:textId="77777777" w:rsidR="00326FA7" w:rsidRDefault="00326FA7" w:rsidP="00326FA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0772B3">
        <w:rPr>
          <w:rFonts w:ascii="Times New Roman" w:hAnsi="Times New Roman" w:cs="Times New Roman"/>
          <w:b/>
          <w:bCs/>
          <w:color w:val="2E2E38"/>
          <w:sz w:val="24"/>
          <w:szCs w:val="24"/>
        </w:rPr>
        <w:t>Incident response policy:</w:t>
      </w:r>
      <w:r w:rsidRPr="00326FA7">
        <w:rPr>
          <w:rFonts w:ascii="Times New Roman" w:hAnsi="Times New Roman" w:cs="Times New Roman"/>
          <w:color w:val="2E2E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38"/>
          <w:sz w:val="24"/>
          <w:szCs w:val="24"/>
        </w:rPr>
        <w:t xml:space="preserve">The company </w:t>
      </w:r>
      <w:r w:rsidR="0067358F">
        <w:rPr>
          <w:rFonts w:ascii="Times New Roman" w:hAnsi="Times New Roman" w:cs="Times New Roman"/>
          <w:color w:val="2E2E38"/>
          <w:sz w:val="24"/>
          <w:szCs w:val="24"/>
        </w:rPr>
        <w:t xml:space="preserve">conducts the following activities during occurrence </w:t>
      </w:r>
      <w:r w:rsidR="004C06D6">
        <w:rPr>
          <w:rFonts w:ascii="Times New Roman" w:hAnsi="Times New Roman" w:cs="Times New Roman"/>
          <w:color w:val="2E2E38"/>
          <w:sz w:val="24"/>
          <w:szCs w:val="24"/>
        </w:rPr>
        <w:t>of cyber</w:t>
      </w:r>
      <w:r w:rsidR="0067358F">
        <w:rPr>
          <w:rFonts w:ascii="Times New Roman" w:hAnsi="Times New Roman" w:cs="Times New Roman"/>
          <w:color w:val="2E2E38"/>
          <w:sz w:val="24"/>
          <w:szCs w:val="24"/>
        </w:rPr>
        <w:t xml:space="preserve"> security incidents:</w:t>
      </w:r>
    </w:p>
    <w:p w14:paraId="25E2720E" w14:textId="77777777" w:rsidR="0067358F" w:rsidRDefault="0067358F" w:rsidP="0067358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Identifying the source</w:t>
      </w:r>
    </w:p>
    <w:p w14:paraId="7B3E3CC7" w14:textId="77777777" w:rsidR="0067358F" w:rsidRDefault="004C06D6" w:rsidP="0067358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Eradication</w:t>
      </w:r>
      <w:r w:rsidR="0067358F">
        <w:rPr>
          <w:rFonts w:ascii="Times New Roman" w:hAnsi="Times New Roman" w:cs="Times New Roman"/>
          <w:color w:val="2E2E38"/>
          <w:sz w:val="24"/>
          <w:szCs w:val="24"/>
        </w:rPr>
        <w:t xml:space="preserve"> of the incident (removing the </w:t>
      </w:r>
      <w:r>
        <w:rPr>
          <w:rFonts w:ascii="Times New Roman" w:hAnsi="Times New Roman" w:cs="Times New Roman"/>
          <w:color w:val="2E2E38"/>
          <w:sz w:val="24"/>
          <w:szCs w:val="24"/>
        </w:rPr>
        <w:t>malicious software and cleaning up the system)</w:t>
      </w:r>
    </w:p>
    <w:p w14:paraId="1DAE9941" w14:textId="77777777" w:rsidR="004C06D6" w:rsidRDefault="004C06D6" w:rsidP="0067358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Recovery of system and data</w:t>
      </w:r>
    </w:p>
    <w:p w14:paraId="4E3A08F0" w14:textId="77777777" w:rsidR="004C06D6" w:rsidRDefault="004C06D6" w:rsidP="0067358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Communication and reporting</w:t>
      </w:r>
    </w:p>
    <w:p w14:paraId="2375AD1D" w14:textId="77777777" w:rsidR="004C06D6" w:rsidRDefault="004C06D6" w:rsidP="0067358F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Post incident reviews and improvement</w:t>
      </w:r>
    </w:p>
    <w:p w14:paraId="747F07C6" w14:textId="77777777" w:rsidR="004C06D6" w:rsidRDefault="00326FA7" w:rsidP="004C06D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0772B3">
        <w:rPr>
          <w:rFonts w:ascii="Times New Roman" w:hAnsi="Times New Roman" w:cs="Times New Roman"/>
          <w:b/>
          <w:bCs/>
          <w:color w:val="2E2E38"/>
          <w:sz w:val="24"/>
          <w:szCs w:val="24"/>
        </w:rPr>
        <w:t>Password policy:</w:t>
      </w:r>
      <w:r w:rsidRPr="00326FA7">
        <w:rPr>
          <w:rFonts w:ascii="Times New Roman" w:hAnsi="Times New Roman" w:cs="Times New Roman"/>
          <w:color w:val="2E2E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E2E38"/>
          <w:sz w:val="24"/>
          <w:szCs w:val="24"/>
        </w:rPr>
        <w:t xml:space="preserve">There is </w:t>
      </w:r>
      <w:r w:rsidRPr="00326FA7">
        <w:rPr>
          <w:rFonts w:ascii="Times New Roman" w:hAnsi="Times New Roman" w:cs="Times New Roman"/>
          <w:color w:val="2E2E38"/>
          <w:sz w:val="24"/>
          <w:szCs w:val="24"/>
        </w:rPr>
        <w:t>establishe</w:t>
      </w:r>
      <w:r>
        <w:rPr>
          <w:rFonts w:ascii="Times New Roman" w:hAnsi="Times New Roman" w:cs="Times New Roman"/>
          <w:color w:val="2E2E38"/>
          <w:sz w:val="24"/>
          <w:szCs w:val="24"/>
        </w:rPr>
        <w:t>d</w:t>
      </w:r>
      <w:r w:rsidRPr="00326FA7">
        <w:rPr>
          <w:rFonts w:ascii="Times New Roman" w:hAnsi="Times New Roman" w:cs="Times New Roman"/>
          <w:color w:val="2E2E38"/>
          <w:sz w:val="24"/>
          <w:szCs w:val="24"/>
        </w:rPr>
        <w:t xml:space="preserve"> guidelines for creating and managing passwords within </w:t>
      </w:r>
      <w:r>
        <w:rPr>
          <w:rFonts w:ascii="Times New Roman" w:hAnsi="Times New Roman" w:cs="Times New Roman"/>
          <w:color w:val="2E2E38"/>
          <w:sz w:val="24"/>
          <w:szCs w:val="24"/>
        </w:rPr>
        <w:t>the company</w:t>
      </w:r>
      <w:r w:rsidR="004C06D6">
        <w:rPr>
          <w:rFonts w:ascii="Times New Roman" w:hAnsi="Times New Roman" w:cs="Times New Roman"/>
          <w:color w:val="2E2E38"/>
          <w:sz w:val="24"/>
          <w:szCs w:val="24"/>
        </w:rPr>
        <w:t>. Accordingly:</w:t>
      </w:r>
    </w:p>
    <w:p w14:paraId="485A39C1" w14:textId="77777777" w:rsidR="004C06D6" w:rsidRDefault="004C06D6" w:rsidP="004C06D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Minimum password length 8 character</w:t>
      </w:r>
    </w:p>
    <w:p w14:paraId="486680A6" w14:textId="77777777" w:rsidR="004C06D6" w:rsidRDefault="004C06D6" w:rsidP="004C06D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Maximum password age 6 months</w:t>
      </w:r>
    </w:p>
    <w:p w14:paraId="1F622A7C" w14:textId="77777777" w:rsidR="004C06D6" w:rsidRDefault="004C06D6" w:rsidP="004C06D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Complexity requirements: at least one upper case, one lower case, one number and one special character</w:t>
      </w:r>
    </w:p>
    <w:p w14:paraId="1404AA25" w14:textId="77777777" w:rsidR="004C06D6" w:rsidRDefault="004C06D6" w:rsidP="004C06D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Password must be changed after any administrative changes</w:t>
      </w:r>
    </w:p>
    <w:p w14:paraId="120011C7" w14:textId="77777777" w:rsidR="004C06D6" w:rsidRDefault="004C06D6" w:rsidP="004C06D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Two</w:t>
      </w:r>
      <w:r w:rsidR="00AC2011">
        <w:rPr>
          <w:rFonts w:ascii="Times New Roman" w:hAnsi="Times New Roman" w:cs="Times New Roman"/>
          <w:color w:val="2E2E38"/>
          <w:sz w:val="24"/>
          <w:szCs w:val="24"/>
        </w:rPr>
        <w:t>-</w:t>
      </w:r>
      <w:r>
        <w:rPr>
          <w:rFonts w:ascii="Times New Roman" w:hAnsi="Times New Roman" w:cs="Times New Roman"/>
          <w:color w:val="2E2E38"/>
          <w:sz w:val="24"/>
          <w:szCs w:val="24"/>
        </w:rPr>
        <w:t>factor authentication (2FA) required for login</w:t>
      </w:r>
    </w:p>
    <w:p w14:paraId="27B6CBF2" w14:textId="77777777" w:rsidR="00AC2011" w:rsidRDefault="00AC2011" w:rsidP="004C06D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Password sharing is prohibited</w:t>
      </w:r>
    </w:p>
    <w:p w14:paraId="2ABAD5C9" w14:textId="77777777" w:rsidR="00AC2011" w:rsidRDefault="00AC2011" w:rsidP="004C06D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Password should not include any personal information such as name, age, phone numbers, birthdate etc.</w:t>
      </w:r>
    </w:p>
    <w:p w14:paraId="5CA855D0" w14:textId="77777777" w:rsidR="00AC2011" w:rsidRPr="004C06D6" w:rsidRDefault="00AC2011" w:rsidP="004C06D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Provide user education and awareness training on password security best practices</w:t>
      </w:r>
    </w:p>
    <w:p w14:paraId="40F0E594" w14:textId="77777777" w:rsidR="000772B3" w:rsidRDefault="00326FA7" w:rsidP="00326FA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0772B3">
        <w:rPr>
          <w:rFonts w:ascii="Times New Roman" w:hAnsi="Times New Roman" w:cs="Times New Roman"/>
          <w:b/>
          <w:bCs/>
          <w:color w:val="2E2E38"/>
          <w:sz w:val="24"/>
          <w:szCs w:val="24"/>
        </w:rPr>
        <w:t>Data classification policy:</w:t>
      </w:r>
      <w:r w:rsidRPr="00326FA7">
        <w:rPr>
          <w:rFonts w:ascii="Times New Roman" w:hAnsi="Times New Roman" w:cs="Times New Roman"/>
          <w:color w:val="2E2E38"/>
          <w:sz w:val="24"/>
          <w:szCs w:val="24"/>
        </w:rPr>
        <w:t xml:space="preserve"> 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 xml:space="preserve">we have </w:t>
      </w:r>
      <w:r w:rsidRPr="00326FA7">
        <w:rPr>
          <w:rFonts w:ascii="Times New Roman" w:hAnsi="Times New Roman" w:cs="Times New Roman"/>
          <w:color w:val="2E2E38"/>
          <w:sz w:val="24"/>
          <w:szCs w:val="24"/>
        </w:rPr>
        <w:t>outline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>d</w:t>
      </w:r>
      <w:r w:rsidRPr="00326FA7">
        <w:rPr>
          <w:rFonts w:ascii="Times New Roman" w:hAnsi="Times New Roman" w:cs="Times New Roman"/>
          <w:color w:val="2E2E38"/>
          <w:sz w:val="24"/>
          <w:szCs w:val="24"/>
        </w:rPr>
        <w:t xml:space="preserve"> how data should be classified and handled based on its sensitivity.</w:t>
      </w:r>
      <w:r w:rsidR="00AC2011">
        <w:rPr>
          <w:rFonts w:ascii="Times New Roman" w:hAnsi="Times New Roman" w:cs="Times New Roman"/>
          <w:color w:val="2E2E38"/>
          <w:sz w:val="24"/>
          <w:szCs w:val="24"/>
        </w:rPr>
        <w:t xml:space="preserve"> Accordingly:</w:t>
      </w:r>
    </w:p>
    <w:p w14:paraId="74A43082" w14:textId="77777777" w:rsidR="00AC2011" w:rsidRDefault="00AC2011" w:rsidP="00AC201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Confidential: PII, financial records, trade secrets</w:t>
      </w:r>
    </w:p>
    <w:p w14:paraId="59E5F1F2" w14:textId="77777777" w:rsidR="00AC2011" w:rsidRDefault="00AC2011" w:rsidP="00AC201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Private: employee records, internal communications</w:t>
      </w:r>
    </w:p>
    <w:p w14:paraId="657FC188" w14:textId="2C583F8D" w:rsidR="00AC2011" w:rsidRDefault="00AC2011" w:rsidP="00AC201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 xml:space="preserve">Public: press release, company brochures, all information </w:t>
      </w:r>
      <w:r w:rsidR="00EB1F3D">
        <w:rPr>
          <w:rFonts w:ascii="Times New Roman" w:hAnsi="Times New Roman" w:cs="Times New Roman"/>
          <w:color w:val="2E2E38"/>
          <w:sz w:val="24"/>
          <w:szCs w:val="24"/>
        </w:rPr>
        <w:t>i</w:t>
      </w:r>
      <w:r>
        <w:rPr>
          <w:rFonts w:ascii="Times New Roman" w:hAnsi="Times New Roman" w:cs="Times New Roman"/>
          <w:color w:val="2E2E38"/>
          <w:sz w:val="24"/>
          <w:szCs w:val="24"/>
        </w:rPr>
        <w:t>n our website</w:t>
      </w:r>
    </w:p>
    <w:p w14:paraId="71305878" w14:textId="77777777" w:rsidR="00AC2011" w:rsidRDefault="00183F0E" w:rsidP="00AC201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Restricted (for specific audiences only): legal documents, researches</w:t>
      </w:r>
    </w:p>
    <w:p w14:paraId="66BEDA2B" w14:textId="77777777" w:rsidR="00183F0E" w:rsidRPr="00463A58" w:rsidRDefault="00183F0E" w:rsidP="00AC201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463A58">
        <w:rPr>
          <w:rFonts w:ascii="Times New Roman" w:hAnsi="Times New Roman" w:cs="Times New Roman"/>
          <w:color w:val="2E2E38"/>
          <w:sz w:val="24"/>
          <w:szCs w:val="24"/>
        </w:rPr>
        <w:t>Top secret: intelligence data</w:t>
      </w:r>
    </w:p>
    <w:p w14:paraId="42C49716" w14:textId="77777777" w:rsidR="000772B3" w:rsidRDefault="00326FA7" w:rsidP="00326FA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0772B3">
        <w:rPr>
          <w:rFonts w:ascii="Times New Roman" w:hAnsi="Times New Roman" w:cs="Times New Roman"/>
          <w:b/>
          <w:bCs/>
          <w:color w:val="2E2E38"/>
          <w:sz w:val="24"/>
          <w:szCs w:val="24"/>
        </w:rPr>
        <w:t>Remote access policy: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 xml:space="preserve"> 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 xml:space="preserve">We have 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>define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>d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 xml:space="preserve"> the conditions under which employees can access company resources from outside the office.</w:t>
      </w:r>
      <w:r w:rsidR="00183F0E">
        <w:rPr>
          <w:rFonts w:ascii="Times New Roman" w:hAnsi="Times New Roman" w:cs="Times New Roman"/>
          <w:color w:val="2E2E38"/>
          <w:sz w:val="24"/>
          <w:szCs w:val="24"/>
        </w:rPr>
        <w:t xml:space="preserve"> Accordingly:</w:t>
      </w:r>
    </w:p>
    <w:p w14:paraId="0AE4FD50" w14:textId="77777777" w:rsidR="00183F0E" w:rsidRDefault="00183F0E" w:rsidP="00183F0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lastRenderedPageBreak/>
        <w:t xml:space="preserve">Employees are requested two-factor authentication (must provide two </w:t>
      </w:r>
      <w:proofErr w:type="gramStart"/>
      <w:r>
        <w:rPr>
          <w:rFonts w:ascii="Times New Roman" w:hAnsi="Times New Roman" w:cs="Times New Roman"/>
          <w:color w:val="2E2E38"/>
          <w:sz w:val="24"/>
          <w:szCs w:val="24"/>
        </w:rPr>
        <w:t>form</w:t>
      </w:r>
      <w:proofErr w:type="gramEnd"/>
      <w:r>
        <w:rPr>
          <w:rFonts w:ascii="Times New Roman" w:hAnsi="Times New Roman" w:cs="Times New Roman"/>
          <w:color w:val="2E2E38"/>
          <w:sz w:val="24"/>
          <w:szCs w:val="24"/>
        </w:rPr>
        <w:t xml:space="preserve"> of identification, password and finger print or security token) before</w:t>
      </w:r>
      <w:r w:rsidR="004F128E">
        <w:rPr>
          <w:rFonts w:ascii="Times New Roman" w:hAnsi="Times New Roman" w:cs="Times New Roman"/>
          <w:color w:val="2E2E38"/>
          <w:sz w:val="24"/>
          <w:szCs w:val="24"/>
        </w:rPr>
        <w:t xml:space="preserve"> being granted access to remote systems.</w:t>
      </w:r>
    </w:p>
    <w:p w14:paraId="0DD6A322" w14:textId="77777777" w:rsidR="004F128E" w:rsidRDefault="004F128E" w:rsidP="00183F0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Network segmentation: staffs do not access sensitive data outside of the Segon environment</w:t>
      </w:r>
    </w:p>
    <w:p w14:paraId="7E3D043F" w14:textId="77777777" w:rsidR="004F128E" w:rsidRDefault="004F128E" w:rsidP="00183F0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Remote access software: we use specialized software to control and monitor remote access to systems and data (auditing of user’s activity).</w:t>
      </w:r>
    </w:p>
    <w:p w14:paraId="05D8EE3C" w14:textId="77777777" w:rsidR="004F128E" w:rsidRDefault="004F128E" w:rsidP="00183F0E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Remote wipe: the company established a system to remotely delete all data from a device that has been lost or stollen</w:t>
      </w:r>
    </w:p>
    <w:p w14:paraId="6E382552" w14:textId="77777777" w:rsidR="000772B3" w:rsidRDefault="00326FA7" w:rsidP="00326FA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0772B3">
        <w:rPr>
          <w:rFonts w:ascii="Times New Roman" w:hAnsi="Times New Roman" w:cs="Times New Roman"/>
          <w:b/>
          <w:bCs/>
          <w:color w:val="2E2E38"/>
          <w:sz w:val="24"/>
          <w:szCs w:val="24"/>
        </w:rPr>
        <w:t xml:space="preserve">Acceptable use policy: 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 xml:space="preserve">The company 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>outline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>d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 xml:space="preserve"> the acceptable and prohibited uses of company equipment and network resources.</w:t>
      </w:r>
      <w:r w:rsidR="00AA687B">
        <w:rPr>
          <w:rFonts w:ascii="Times New Roman" w:hAnsi="Times New Roman" w:cs="Times New Roman"/>
          <w:color w:val="2E2E38"/>
          <w:sz w:val="24"/>
          <w:szCs w:val="24"/>
        </w:rPr>
        <w:t xml:space="preserve"> Accordingly:</w:t>
      </w:r>
    </w:p>
    <w:p w14:paraId="7AFCBD76" w14:textId="77777777" w:rsidR="00AA687B" w:rsidRDefault="00AA687B" w:rsidP="00AA687B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Prohibiting the unauthorized access or use of networks, applications and systems</w:t>
      </w:r>
    </w:p>
    <w:p w14:paraId="4CFD4FAD" w14:textId="77777777" w:rsidR="00AA687B" w:rsidRPr="00AA687B" w:rsidRDefault="00AA687B" w:rsidP="00AA687B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Prohibiting the use of the network or system for illegal activities</w:t>
      </w:r>
    </w:p>
    <w:p w14:paraId="2CE68AC6" w14:textId="77777777" w:rsidR="000772B3" w:rsidRDefault="00326FA7" w:rsidP="00326FA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0772B3">
        <w:rPr>
          <w:rFonts w:ascii="Times New Roman" w:hAnsi="Times New Roman" w:cs="Times New Roman"/>
          <w:b/>
          <w:bCs/>
          <w:color w:val="2E2E38"/>
          <w:sz w:val="24"/>
          <w:szCs w:val="24"/>
        </w:rPr>
        <w:t>Encryption policy: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 xml:space="preserve"> 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 xml:space="preserve">The company 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>specifie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>d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 xml:space="preserve"> the types of data that must be encrypted and the encryption methods to be used.</w:t>
      </w:r>
      <w:r w:rsidR="00AA687B">
        <w:rPr>
          <w:rFonts w:ascii="Times New Roman" w:hAnsi="Times New Roman" w:cs="Times New Roman"/>
          <w:color w:val="2E2E38"/>
          <w:sz w:val="24"/>
          <w:szCs w:val="24"/>
        </w:rPr>
        <w:t xml:space="preserve"> Accordingly:</w:t>
      </w:r>
    </w:p>
    <w:p w14:paraId="23668920" w14:textId="77777777" w:rsidR="00AA687B" w:rsidRDefault="00AA687B" w:rsidP="00AA687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Data to be encrypted: PII</w:t>
      </w:r>
      <w:r w:rsidR="00E35168">
        <w:rPr>
          <w:rFonts w:ascii="Times New Roman" w:hAnsi="Times New Roman" w:cs="Times New Roman"/>
          <w:color w:val="2E2E38"/>
          <w:sz w:val="24"/>
          <w:szCs w:val="24"/>
        </w:rPr>
        <w:t>, financial data, strategic plan</w:t>
      </w:r>
    </w:p>
    <w:p w14:paraId="2FA75722" w14:textId="77777777" w:rsidR="00E35168" w:rsidRDefault="00E35168" w:rsidP="00AA687B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Encryption method used: symmetric encryption (AES) and Transport Layer Security (TLS) to encrypt data in transit.</w:t>
      </w:r>
    </w:p>
    <w:p w14:paraId="41C68A45" w14:textId="77777777" w:rsidR="000772B3" w:rsidRDefault="00326FA7" w:rsidP="00326FA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0772B3">
        <w:rPr>
          <w:rFonts w:ascii="Times New Roman" w:hAnsi="Times New Roman" w:cs="Times New Roman"/>
          <w:b/>
          <w:bCs/>
          <w:color w:val="2E2E38"/>
          <w:sz w:val="24"/>
          <w:szCs w:val="24"/>
        </w:rPr>
        <w:t>Data retention and disposal policy: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 xml:space="preserve"> 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 xml:space="preserve">We have 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>determine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>d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 xml:space="preserve"> how long data should be retained and the procedures for securely disposing of it.</w:t>
      </w:r>
      <w:r w:rsidR="001E00E4">
        <w:rPr>
          <w:rFonts w:ascii="Times New Roman" w:hAnsi="Times New Roman" w:cs="Times New Roman"/>
          <w:color w:val="2E2E38"/>
          <w:sz w:val="24"/>
          <w:szCs w:val="24"/>
        </w:rPr>
        <w:t xml:space="preserve"> Accordingly:</w:t>
      </w:r>
    </w:p>
    <w:p w14:paraId="78B34783" w14:textId="39FA1E1D" w:rsidR="001E00E4" w:rsidRDefault="003940CD" w:rsidP="001E00E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 xml:space="preserve">Retaining customer data </w:t>
      </w:r>
      <w:r w:rsidR="00D57007">
        <w:rPr>
          <w:rFonts w:ascii="Times New Roman" w:hAnsi="Times New Roman" w:cs="Times New Roman"/>
          <w:color w:val="2E2E38"/>
          <w:sz w:val="24"/>
          <w:szCs w:val="24"/>
        </w:rPr>
        <w:t>for at least 5 years</w:t>
      </w:r>
    </w:p>
    <w:p w14:paraId="10CB739D" w14:textId="722A820D" w:rsidR="003940CD" w:rsidRDefault="003940CD" w:rsidP="001E00E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 xml:space="preserve">Retaining financial data </w:t>
      </w:r>
      <w:r w:rsidR="00D57007">
        <w:rPr>
          <w:rFonts w:ascii="Times New Roman" w:hAnsi="Times New Roman" w:cs="Times New Roman"/>
          <w:color w:val="2E2E38"/>
          <w:sz w:val="24"/>
          <w:szCs w:val="24"/>
        </w:rPr>
        <w:t>as set out in the applicable law</w:t>
      </w:r>
    </w:p>
    <w:p w14:paraId="681F0DCC" w14:textId="77777777" w:rsidR="003940CD" w:rsidRDefault="003940CD" w:rsidP="001E00E4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Securely wiping or destroying old backups or servers that are retired</w:t>
      </w:r>
    </w:p>
    <w:p w14:paraId="0A613B0E" w14:textId="77777777" w:rsidR="000772B3" w:rsidRDefault="00326FA7" w:rsidP="00326FA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0772B3">
        <w:rPr>
          <w:rFonts w:ascii="Times New Roman" w:hAnsi="Times New Roman" w:cs="Times New Roman"/>
          <w:b/>
          <w:bCs/>
          <w:color w:val="2E2E38"/>
          <w:sz w:val="24"/>
          <w:szCs w:val="24"/>
        </w:rPr>
        <w:t>Third-party vendor management policy: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 xml:space="preserve"> 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 xml:space="preserve">We have </w:t>
      </w:r>
      <w:r w:rsidR="000772B3" w:rsidRPr="000772B3">
        <w:rPr>
          <w:rFonts w:ascii="Times New Roman" w:hAnsi="Times New Roman" w:cs="Times New Roman"/>
          <w:color w:val="2E2E38"/>
          <w:sz w:val="24"/>
          <w:szCs w:val="24"/>
        </w:rPr>
        <w:t>outlined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 xml:space="preserve"> the security requirements for working with vendors and service providers.</w:t>
      </w:r>
      <w:r w:rsidR="003940CD">
        <w:rPr>
          <w:rFonts w:ascii="Times New Roman" w:hAnsi="Times New Roman" w:cs="Times New Roman"/>
          <w:color w:val="2E2E38"/>
          <w:sz w:val="24"/>
          <w:szCs w:val="24"/>
        </w:rPr>
        <w:t xml:space="preserve"> </w:t>
      </w:r>
      <w:r w:rsidR="004703D8">
        <w:rPr>
          <w:rFonts w:ascii="Times New Roman" w:hAnsi="Times New Roman" w:cs="Times New Roman"/>
          <w:color w:val="2E2E38"/>
          <w:sz w:val="24"/>
          <w:szCs w:val="24"/>
        </w:rPr>
        <w:t>Accordingly,</w:t>
      </w:r>
      <w:r w:rsidR="003940CD">
        <w:rPr>
          <w:rFonts w:ascii="Times New Roman" w:hAnsi="Times New Roman" w:cs="Times New Roman"/>
          <w:color w:val="2E2E38"/>
          <w:sz w:val="24"/>
          <w:szCs w:val="24"/>
        </w:rPr>
        <w:t xml:space="preserve"> we assess the vendors’</w:t>
      </w:r>
    </w:p>
    <w:p w14:paraId="4F2349CC" w14:textId="77777777" w:rsidR="003940CD" w:rsidRDefault="004703D8" w:rsidP="004703D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Cyber security policies</w:t>
      </w:r>
    </w:p>
    <w:p w14:paraId="17D2FC6A" w14:textId="77777777" w:rsidR="004703D8" w:rsidRDefault="004703D8" w:rsidP="004703D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Due diligence</w:t>
      </w:r>
    </w:p>
    <w:p w14:paraId="142A382A" w14:textId="77777777" w:rsidR="003940CD" w:rsidRPr="004703D8" w:rsidRDefault="004703D8" w:rsidP="004703D8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>
        <w:rPr>
          <w:rFonts w:ascii="Times New Roman" w:hAnsi="Times New Roman" w:cs="Times New Roman"/>
          <w:color w:val="2E2E38"/>
          <w:sz w:val="24"/>
          <w:szCs w:val="24"/>
        </w:rPr>
        <w:t>Incident response plan</w:t>
      </w:r>
    </w:p>
    <w:p w14:paraId="32B96BF0" w14:textId="77777777" w:rsidR="001A0831" w:rsidRPr="000772B3" w:rsidRDefault="00326FA7" w:rsidP="00326FA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color w:val="2E2E38"/>
          <w:sz w:val="24"/>
          <w:szCs w:val="24"/>
        </w:rPr>
      </w:pPr>
      <w:r w:rsidRPr="000772B3">
        <w:rPr>
          <w:rFonts w:ascii="Times New Roman" w:hAnsi="Times New Roman" w:cs="Times New Roman"/>
          <w:b/>
          <w:bCs/>
          <w:color w:val="2E2E38"/>
          <w:sz w:val="24"/>
          <w:szCs w:val="24"/>
        </w:rPr>
        <w:t>Continuity of operations plan:</w:t>
      </w:r>
      <w:r w:rsidRPr="000772B3">
        <w:rPr>
          <w:rFonts w:ascii="Times New Roman" w:hAnsi="Times New Roman" w:cs="Times New Roman"/>
          <w:color w:val="2E2E38"/>
          <w:sz w:val="24"/>
          <w:szCs w:val="24"/>
        </w:rPr>
        <w:t xml:space="preserve"> </w:t>
      </w:r>
      <w:r w:rsidR="000772B3">
        <w:rPr>
          <w:rFonts w:ascii="Times New Roman" w:hAnsi="Times New Roman" w:cs="Times New Roman"/>
          <w:color w:val="2E2E38"/>
          <w:sz w:val="24"/>
          <w:szCs w:val="24"/>
        </w:rPr>
        <w:t xml:space="preserve">The company </w:t>
      </w:r>
      <w:r w:rsidR="004703D8">
        <w:rPr>
          <w:rFonts w:ascii="Times New Roman" w:hAnsi="Times New Roman" w:cs="Times New Roman"/>
          <w:color w:val="2E2E38"/>
          <w:sz w:val="24"/>
          <w:szCs w:val="24"/>
        </w:rPr>
        <w:t>committed to re-operate the business process after occurrence of cyber incident through taking appropriate correction and corrective actions</w:t>
      </w:r>
    </w:p>
    <w:sectPr w:rsidR="001A0831" w:rsidRPr="000772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6352" w14:textId="77777777" w:rsidR="00D57007" w:rsidRDefault="00D57007" w:rsidP="00D57007">
      <w:pPr>
        <w:spacing w:after="0" w:line="240" w:lineRule="auto"/>
      </w:pPr>
      <w:r>
        <w:separator/>
      </w:r>
    </w:p>
  </w:endnote>
  <w:endnote w:type="continuationSeparator" w:id="0">
    <w:p w14:paraId="345DB22A" w14:textId="77777777" w:rsidR="00D57007" w:rsidRDefault="00D57007" w:rsidP="00D5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YInterstate-Ligh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wer Geez Unicode1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B3F2" w14:textId="77777777" w:rsidR="00D57007" w:rsidRDefault="00D57007" w:rsidP="00D57007">
      <w:pPr>
        <w:spacing w:after="0" w:line="240" w:lineRule="auto"/>
      </w:pPr>
      <w:r>
        <w:separator/>
      </w:r>
    </w:p>
  </w:footnote>
  <w:footnote w:type="continuationSeparator" w:id="0">
    <w:p w14:paraId="135E4FB4" w14:textId="77777777" w:rsidR="00D57007" w:rsidRDefault="00D57007" w:rsidP="00D5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margin" w:tblpY="646"/>
      <w:tblOverlap w:val="never"/>
      <w:tblW w:w="5000" w:type="pct"/>
      <w:tblInd w:w="0" w:type="dxa"/>
      <w:tblCellMar>
        <w:left w:w="19" w:type="dxa"/>
        <w:bottom w:w="15" w:type="dxa"/>
        <w:right w:w="115" w:type="dxa"/>
      </w:tblCellMar>
      <w:tblLook w:val="04A0" w:firstRow="1" w:lastRow="0" w:firstColumn="1" w:lastColumn="0" w:noHBand="0" w:noVBand="1"/>
    </w:tblPr>
    <w:tblGrid>
      <w:gridCol w:w="2028"/>
      <w:gridCol w:w="4735"/>
      <w:gridCol w:w="1111"/>
      <w:gridCol w:w="1456"/>
    </w:tblGrid>
    <w:tr w:rsidR="00D57007" w14:paraId="26399E87" w14:textId="77777777" w:rsidTr="00172100">
      <w:trPr>
        <w:trHeight w:val="1053"/>
      </w:trPr>
      <w:tc>
        <w:tcPr>
          <w:tcW w:w="941" w:type="pc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bottom"/>
        </w:tcPr>
        <w:p w14:paraId="733BA39D" w14:textId="77777777" w:rsidR="00D57007" w:rsidRDefault="00D57007" w:rsidP="00D57007">
          <w:pPr>
            <w:spacing w:after="23"/>
            <w:ind w:left="355"/>
          </w:pPr>
          <w:r>
            <w:rPr>
              <w:noProof/>
            </w:rPr>
            <w:drawing>
              <wp:inline distT="0" distB="0" distL="0" distR="0" wp14:anchorId="10626A74" wp14:editId="2A9AA5B4">
                <wp:extent cx="733649" cy="590550"/>
                <wp:effectExtent l="0" t="0" r="9525" b="0"/>
                <wp:docPr id="22" name="Picture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Picture 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589" cy="591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4"/>
            </w:rPr>
            <w:t xml:space="preserve">  </w:t>
          </w:r>
        </w:p>
      </w:tc>
      <w:tc>
        <w:tcPr>
          <w:tcW w:w="4059" w:type="pct"/>
          <w:gridSpan w:val="3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200A450" w14:textId="77777777" w:rsidR="00D57007" w:rsidRDefault="00D57007" w:rsidP="00D57007">
          <w:pPr>
            <w:spacing w:after="70"/>
            <w:ind w:left="89"/>
          </w:pPr>
          <w:r>
            <w:rPr>
              <w:sz w:val="16"/>
            </w:rPr>
            <w:t xml:space="preserve">Company Name: </w:t>
          </w:r>
        </w:p>
        <w:p w14:paraId="7DAC68A6" w14:textId="77777777" w:rsidR="00D57007" w:rsidRDefault="00D57007" w:rsidP="00D57007">
          <w:pPr>
            <w:ind w:left="93"/>
            <w:jc w:val="center"/>
          </w:pPr>
          <w:r>
            <w:rPr>
              <w:rFonts w:ascii="Power Geez Unicode1" w:eastAsia="Power Geez Unicode1" w:hAnsi="Power Geez Unicode1" w:cs="Power Geez Unicode1"/>
            </w:rPr>
            <w:t xml:space="preserve">ሰጎን </w:t>
          </w:r>
          <w:proofErr w:type="spellStart"/>
          <w:r>
            <w:rPr>
              <w:rFonts w:ascii="Power Geez Unicode1" w:eastAsia="Power Geez Unicode1" w:hAnsi="Power Geez Unicode1" w:cs="Power Geez Unicode1"/>
            </w:rPr>
            <w:t>ማሪል</w:t>
          </w:r>
          <w:proofErr w:type="spellEnd"/>
          <w:r>
            <w:rPr>
              <w:rFonts w:ascii="Power Geez Unicode1" w:eastAsia="Power Geez Unicode1" w:hAnsi="Power Geez Unicode1" w:cs="Power Geez Unicode1"/>
            </w:rPr>
            <w:t xml:space="preserve"> </w:t>
          </w:r>
          <w:proofErr w:type="spellStart"/>
          <w:r>
            <w:rPr>
              <w:rFonts w:ascii="Power Geez Unicode1" w:eastAsia="Power Geez Unicode1" w:hAnsi="Power Geez Unicode1" w:cs="Power Geez Unicode1"/>
            </w:rPr>
            <w:t>ኢንተርናሽናል</w:t>
          </w:r>
          <w:proofErr w:type="spellEnd"/>
          <w:r>
            <w:rPr>
              <w:rFonts w:ascii="Power Geez Unicode1" w:eastAsia="Power Geez Unicode1" w:hAnsi="Power Geez Unicode1" w:cs="Power Geez Unicode1"/>
            </w:rPr>
            <w:t xml:space="preserve"> ሙቨርስ ኃ/የተ/የግ/ማ </w:t>
          </w:r>
        </w:p>
        <w:p w14:paraId="5A37B578" w14:textId="77777777" w:rsidR="00D57007" w:rsidRDefault="00D57007" w:rsidP="00D57007">
          <w:pPr>
            <w:ind w:left="93"/>
            <w:jc w:val="center"/>
          </w:pPr>
          <w:proofErr w:type="spellStart"/>
          <w:r>
            <w:rPr>
              <w:b/>
              <w:sz w:val="28"/>
            </w:rPr>
            <w:t>Segon</w:t>
          </w:r>
          <w:proofErr w:type="spellEnd"/>
          <w:r>
            <w:rPr>
              <w:b/>
              <w:sz w:val="28"/>
            </w:rPr>
            <w:t xml:space="preserve"> Marill International Movers PLC</w:t>
          </w:r>
          <w:r>
            <w:rPr>
              <w:b/>
            </w:rPr>
            <w:t xml:space="preserve"> </w:t>
          </w:r>
        </w:p>
      </w:tc>
    </w:tr>
    <w:tr w:rsidR="00D57007" w14:paraId="217E968D" w14:textId="77777777" w:rsidTr="00172100">
      <w:trPr>
        <w:trHeight w:val="657"/>
      </w:trPr>
      <w:tc>
        <w:tcPr>
          <w:tcW w:w="941" w:type="pc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0B836408" w14:textId="77777777" w:rsidR="00D57007" w:rsidRDefault="00D57007" w:rsidP="00D57007">
          <w:pPr>
            <w:ind w:left="214" w:hanging="125"/>
            <w:rPr>
              <w:sz w:val="12"/>
            </w:rPr>
          </w:pPr>
          <w:r>
            <w:rPr>
              <w:sz w:val="12"/>
            </w:rPr>
            <w:t xml:space="preserve">Document No: </w:t>
          </w:r>
        </w:p>
        <w:p w14:paraId="4AA14938" w14:textId="77777777" w:rsidR="00D57007" w:rsidRPr="00D4328F" w:rsidRDefault="00D57007" w:rsidP="00D57007">
          <w:pPr>
            <w:ind w:left="214" w:hanging="125"/>
            <w:rPr>
              <w:sz w:val="6"/>
              <w:szCs w:val="16"/>
            </w:rPr>
          </w:pPr>
        </w:p>
        <w:p w14:paraId="2882B9AB" w14:textId="50DEE94F" w:rsidR="00D57007" w:rsidRDefault="00D57007" w:rsidP="00D57007">
          <w:pPr>
            <w:ind w:left="214" w:hanging="125"/>
          </w:pPr>
          <w:r w:rsidRPr="00BD213A">
            <w:rPr>
              <w:b/>
            </w:rPr>
            <w:t>P</w:t>
          </w:r>
          <w:r>
            <w:rPr>
              <w:b/>
            </w:rPr>
            <w:t>O</w:t>
          </w:r>
          <w:r w:rsidRPr="00BD213A">
            <w:rPr>
              <w:b/>
            </w:rPr>
            <w:t>/</w:t>
          </w:r>
          <w:r>
            <w:rPr>
              <w:b/>
            </w:rPr>
            <w:t>SMIM/</w:t>
          </w:r>
          <w:r>
            <w:rPr>
              <w:b/>
            </w:rPr>
            <w:t>FBO</w:t>
          </w:r>
          <w:r w:rsidRPr="00BD213A">
            <w:rPr>
              <w:b/>
            </w:rPr>
            <w:t>/</w:t>
          </w:r>
          <w:r>
            <w:rPr>
              <w:b/>
            </w:rPr>
            <w:t>00</w:t>
          </w:r>
          <w:r w:rsidR="002B1815">
            <w:rPr>
              <w:b/>
            </w:rPr>
            <w:t>7</w:t>
          </w:r>
        </w:p>
      </w:tc>
      <w:tc>
        <w:tcPr>
          <w:tcW w:w="2611" w:type="pc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A19A42C" w14:textId="77777777" w:rsidR="00D57007" w:rsidRDefault="00D57007" w:rsidP="00D57007">
          <w:pPr>
            <w:ind w:left="1299" w:right="1203" w:hanging="1241"/>
            <w:rPr>
              <w:b/>
            </w:rPr>
          </w:pPr>
          <w:r>
            <w:rPr>
              <w:sz w:val="12"/>
            </w:rPr>
            <w:t>Title</w:t>
          </w:r>
          <w:r>
            <w:rPr>
              <w:b/>
              <w:sz w:val="18"/>
              <w:vertAlign w:val="subscript"/>
            </w:rPr>
            <w:t>:</w:t>
          </w:r>
          <w:r>
            <w:rPr>
              <w:b/>
            </w:rPr>
            <w:t xml:space="preserve"> </w:t>
          </w:r>
        </w:p>
        <w:p w14:paraId="04BBF7AA" w14:textId="508F4430" w:rsidR="00D57007" w:rsidRPr="006A5452" w:rsidRDefault="002B1815" w:rsidP="006A5452">
          <w:pPr>
            <w:spacing w:line="276" w:lineRule="auto"/>
            <w:ind w:left="705" w:right="345" w:hanging="54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Cyber Security</w:t>
          </w:r>
          <w:r w:rsidR="006A5452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Management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Polic</w:t>
          </w:r>
          <w:r w:rsidR="006A5452">
            <w:rPr>
              <w:rFonts w:ascii="Times New Roman" w:hAnsi="Times New Roman" w:cs="Times New Roman"/>
              <w:b/>
              <w:bCs/>
              <w:sz w:val="24"/>
              <w:szCs w:val="24"/>
            </w:rPr>
            <w:t>y</w:t>
          </w:r>
        </w:p>
      </w:tc>
      <w:tc>
        <w:tcPr>
          <w:tcW w:w="595" w:type="pc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3A18F9C4" w14:textId="77777777" w:rsidR="00D57007" w:rsidRDefault="00D57007" w:rsidP="00D57007">
          <w:pPr>
            <w:ind w:left="504" w:right="301" w:hanging="415"/>
            <w:rPr>
              <w:sz w:val="12"/>
            </w:rPr>
          </w:pPr>
          <w:r>
            <w:rPr>
              <w:sz w:val="12"/>
            </w:rPr>
            <w:t xml:space="preserve">Issue No. </w:t>
          </w:r>
        </w:p>
        <w:p w14:paraId="6B32B934" w14:textId="77777777" w:rsidR="00D57007" w:rsidRPr="00D4328F" w:rsidRDefault="00D57007" w:rsidP="00D57007">
          <w:pPr>
            <w:ind w:left="504" w:right="301" w:hanging="415"/>
            <w:rPr>
              <w:sz w:val="8"/>
              <w:szCs w:val="18"/>
            </w:rPr>
          </w:pPr>
        </w:p>
        <w:p w14:paraId="13F7FA67" w14:textId="77777777" w:rsidR="00D57007" w:rsidRDefault="00D57007" w:rsidP="00D57007">
          <w:pPr>
            <w:ind w:left="504" w:right="301" w:hanging="415"/>
            <w:jc w:val="center"/>
          </w:pPr>
          <w:r>
            <w:t>1</w:t>
          </w:r>
        </w:p>
      </w:tc>
      <w:tc>
        <w:tcPr>
          <w:tcW w:w="853" w:type="pc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2B4DF44C" w14:textId="77777777" w:rsidR="00D57007" w:rsidRDefault="00D57007" w:rsidP="00D57007">
          <w:pPr>
            <w:spacing w:after="102"/>
            <w:ind w:left="89"/>
          </w:pPr>
          <w:r>
            <w:rPr>
              <w:sz w:val="12"/>
            </w:rPr>
            <w:t xml:space="preserve">Page No. </w:t>
          </w:r>
        </w:p>
        <w:p w14:paraId="68A1C7E5" w14:textId="77777777" w:rsidR="00D57007" w:rsidRDefault="00D57007" w:rsidP="00D57007">
          <w:pPr>
            <w:ind w:left="89"/>
          </w:pPr>
          <w:r>
            <w:rPr>
              <w:b/>
            </w:rPr>
            <w:t xml:space="preserve"> </w:t>
          </w:r>
          <w:r w:rsidRPr="00D4328F">
            <w:rPr>
              <w:b/>
            </w:rPr>
            <w:t xml:space="preserve">Page </w:t>
          </w:r>
          <w:r w:rsidRPr="00D4328F">
            <w:rPr>
              <w:b/>
              <w:bCs/>
            </w:rPr>
            <w:fldChar w:fldCharType="begin"/>
          </w:r>
          <w:r w:rsidRPr="00D4328F">
            <w:rPr>
              <w:b/>
              <w:bCs/>
            </w:rPr>
            <w:instrText xml:space="preserve"> PAGE  \* Arabic  \* MERGEFORMAT </w:instrText>
          </w:r>
          <w:r w:rsidRPr="00D4328F">
            <w:rPr>
              <w:b/>
              <w:bCs/>
            </w:rPr>
            <w:fldChar w:fldCharType="separate"/>
          </w:r>
          <w:r w:rsidRPr="00D4328F">
            <w:rPr>
              <w:b/>
              <w:bCs/>
              <w:noProof/>
            </w:rPr>
            <w:t>1</w:t>
          </w:r>
          <w:r w:rsidRPr="00D4328F">
            <w:rPr>
              <w:b/>
              <w:bCs/>
            </w:rPr>
            <w:fldChar w:fldCharType="end"/>
          </w:r>
          <w:r w:rsidRPr="00D4328F">
            <w:rPr>
              <w:b/>
            </w:rPr>
            <w:t xml:space="preserve"> of </w:t>
          </w:r>
          <w:r w:rsidRPr="00D4328F">
            <w:rPr>
              <w:b/>
              <w:bCs/>
            </w:rPr>
            <w:fldChar w:fldCharType="begin"/>
          </w:r>
          <w:r w:rsidRPr="00D4328F">
            <w:rPr>
              <w:b/>
              <w:bCs/>
            </w:rPr>
            <w:instrText xml:space="preserve"> NUMPAGES  \* Arabic  \* MERGEFORMAT </w:instrText>
          </w:r>
          <w:r w:rsidRPr="00D4328F">
            <w:rPr>
              <w:b/>
              <w:bCs/>
            </w:rPr>
            <w:fldChar w:fldCharType="separate"/>
          </w:r>
          <w:r w:rsidRPr="00D4328F">
            <w:rPr>
              <w:b/>
              <w:bCs/>
              <w:noProof/>
            </w:rPr>
            <w:t>2</w:t>
          </w:r>
          <w:r w:rsidRPr="00D4328F">
            <w:rPr>
              <w:b/>
              <w:bCs/>
            </w:rPr>
            <w:fldChar w:fldCharType="end"/>
          </w:r>
        </w:p>
      </w:tc>
    </w:tr>
  </w:tbl>
  <w:p w14:paraId="4333EEB4" w14:textId="77777777" w:rsidR="00D57007" w:rsidRDefault="00D57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08F"/>
    <w:multiLevelType w:val="hybridMultilevel"/>
    <w:tmpl w:val="B5C4D5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B4245"/>
    <w:multiLevelType w:val="hybridMultilevel"/>
    <w:tmpl w:val="4170B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4721B3"/>
    <w:multiLevelType w:val="hybridMultilevel"/>
    <w:tmpl w:val="0AC6A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11A34"/>
    <w:multiLevelType w:val="hybridMultilevel"/>
    <w:tmpl w:val="073AADD4"/>
    <w:lvl w:ilvl="0" w:tplc="28361754">
      <w:start w:val="1"/>
      <w:numFmt w:val="bullet"/>
      <w:lvlText w:val="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4" w15:restartNumberingAfterBreak="0">
    <w:nsid w:val="155F1FE7"/>
    <w:multiLevelType w:val="hybridMultilevel"/>
    <w:tmpl w:val="3724B8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A06B6"/>
    <w:multiLevelType w:val="hybridMultilevel"/>
    <w:tmpl w:val="6A1AF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31382"/>
    <w:multiLevelType w:val="hybridMultilevel"/>
    <w:tmpl w:val="E0582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289E"/>
    <w:multiLevelType w:val="hybridMultilevel"/>
    <w:tmpl w:val="EF345F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8424A4"/>
    <w:multiLevelType w:val="hybridMultilevel"/>
    <w:tmpl w:val="AD564BC2"/>
    <w:lvl w:ilvl="0" w:tplc="28361754">
      <w:start w:val="1"/>
      <w:numFmt w:val="bullet"/>
      <w:lvlText w:val=""/>
      <w:lvlJc w:val="left"/>
      <w:pPr>
        <w:ind w:left="2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abstractNum w:abstractNumId="9" w15:restartNumberingAfterBreak="0">
    <w:nsid w:val="265F4965"/>
    <w:multiLevelType w:val="hybridMultilevel"/>
    <w:tmpl w:val="F5242F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53886"/>
    <w:multiLevelType w:val="hybridMultilevel"/>
    <w:tmpl w:val="44CCB40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6346A"/>
    <w:multiLevelType w:val="hybridMultilevel"/>
    <w:tmpl w:val="C100B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B1B"/>
    <w:multiLevelType w:val="hybridMultilevel"/>
    <w:tmpl w:val="D7F0C3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F826FF"/>
    <w:multiLevelType w:val="hybridMultilevel"/>
    <w:tmpl w:val="637A96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97D35"/>
    <w:multiLevelType w:val="hybridMultilevel"/>
    <w:tmpl w:val="447239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30211"/>
    <w:multiLevelType w:val="hybridMultilevel"/>
    <w:tmpl w:val="F8AA43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78382C"/>
    <w:multiLevelType w:val="hybridMultilevel"/>
    <w:tmpl w:val="7516544C"/>
    <w:lvl w:ilvl="0" w:tplc="72CA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A3F2D"/>
    <w:multiLevelType w:val="hybridMultilevel"/>
    <w:tmpl w:val="A04ADD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5B3000"/>
    <w:multiLevelType w:val="hybridMultilevel"/>
    <w:tmpl w:val="6D200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46518A"/>
    <w:multiLevelType w:val="hybridMultilevel"/>
    <w:tmpl w:val="4426F0B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D92EFB"/>
    <w:multiLevelType w:val="hybridMultilevel"/>
    <w:tmpl w:val="36EC4D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007072"/>
    <w:multiLevelType w:val="hybridMultilevel"/>
    <w:tmpl w:val="38AA5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023AC8"/>
    <w:multiLevelType w:val="hybridMultilevel"/>
    <w:tmpl w:val="957E8F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1806"/>
    <w:multiLevelType w:val="hybridMultilevel"/>
    <w:tmpl w:val="AD063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71CB1"/>
    <w:multiLevelType w:val="hybridMultilevel"/>
    <w:tmpl w:val="2E84CE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4865EE"/>
    <w:multiLevelType w:val="hybridMultilevel"/>
    <w:tmpl w:val="8030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A267E"/>
    <w:multiLevelType w:val="hybridMultilevel"/>
    <w:tmpl w:val="DD62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E2DC2"/>
    <w:multiLevelType w:val="hybridMultilevel"/>
    <w:tmpl w:val="4198F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"/>
  </w:num>
  <w:num w:numId="4">
    <w:abstractNumId w:val="18"/>
  </w:num>
  <w:num w:numId="5">
    <w:abstractNumId w:val="21"/>
  </w:num>
  <w:num w:numId="6">
    <w:abstractNumId w:val="25"/>
  </w:num>
  <w:num w:numId="7">
    <w:abstractNumId w:val="4"/>
  </w:num>
  <w:num w:numId="8">
    <w:abstractNumId w:val="0"/>
  </w:num>
  <w:num w:numId="9">
    <w:abstractNumId w:val="20"/>
  </w:num>
  <w:num w:numId="10">
    <w:abstractNumId w:val="3"/>
  </w:num>
  <w:num w:numId="11">
    <w:abstractNumId w:val="8"/>
  </w:num>
  <w:num w:numId="12">
    <w:abstractNumId w:val="19"/>
  </w:num>
  <w:num w:numId="13">
    <w:abstractNumId w:val="23"/>
  </w:num>
  <w:num w:numId="14">
    <w:abstractNumId w:val="16"/>
  </w:num>
  <w:num w:numId="15">
    <w:abstractNumId w:val="24"/>
  </w:num>
  <w:num w:numId="16">
    <w:abstractNumId w:val="2"/>
  </w:num>
  <w:num w:numId="17">
    <w:abstractNumId w:val="26"/>
  </w:num>
  <w:num w:numId="18">
    <w:abstractNumId w:val="11"/>
  </w:num>
  <w:num w:numId="19">
    <w:abstractNumId w:val="5"/>
  </w:num>
  <w:num w:numId="20">
    <w:abstractNumId w:val="17"/>
  </w:num>
  <w:num w:numId="21">
    <w:abstractNumId w:val="22"/>
  </w:num>
  <w:num w:numId="22">
    <w:abstractNumId w:val="10"/>
  </w:num>
  <w:num w:numId="23">
    <w:abstractNumId w:val="12"/>
  </w:num>
  <w:num w:numId="24">
    <w:abstractNumId w:val="9"/>
  </w:num>
  <w:num w:numId="25">
    <w:abstractNumId w:val="15"/>
  </w:num>
  <w:num w:numId="26">
    <w:abstractNumId w:val="7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FB"/>
    <w:rsid w:val="000265FE"/>
    <w:rsid w:val="00033231"/>
    <w:rsid w:val="000772B3"/>
    <w:rsid w:val="00183F0E"/>
    <w:rsid w:val="001A0831"/>
    <w:rsid w:val="001E00E4"/>
    <w:rsid w:val="00254398"/>
    <w:rsid w:val="0029411A"/>
    <w:rsid w:val="002A0FAA"/>
    <w:rsid w:val="002B1815"/>
    <w:rsid w:val="00326FA7"/>
    <w:rsid w:val="00327E4C"/>
    <w:rsid w:val="003751BF"/>
    <w:rsid w:val="003940CD"/>
    <w:rsid w:val="00423C24"/>
    <w:rsid w:val="00450EB4"/>
    <w:rsid w:val="00463A58"/>
    <w:rsid w:val="004703D8"/>
    <w:rsid w:val="004C06D6"/>
    <w:rsid w:val="004F128E"/>
    <w:rsid w:val="00522223"/>
    <w:rsid w:val="00561033"/>
    <w:rsid w:val="006118F9"/>
    <w:rsid w:val="0062642E"/>
    <w:rsid w:val="006523B2"/>
    <w:rsid w:val="0067358F"/>
    <w:rsid w:val="006953FB"/>
    <w:rsid w:val="006A5452"/>
    <w:rsid w:val="007334AA"/>
    <w:rsid w:val="007756BA"/>
    <w:rsid w:val="008132EB"/>
    <w:rsid w:val="00820EB7"/>
    <w:rsid w:val="00832705"/>
    <w:rsid w:val="008C1646"/>
    <w:rsid w:val="008F6491"/>
    <w:rsid w:val="009D5A07"/>
    <w:rsid w:val="009E67F7"/>
    <w:rsid w:val="00A13559"/>
    <w:rsid w:val="00AA687B"/>
    <w:rsid w:val="00AC2011"/>
    <w:rsid w:val="00AD5121"/>
    <w:rsid w:val="00B9370C"/>
    <w:rsid w:val="00BF013A"/>
    <w:rsid w:val="00C021B9"/>
    <w:rsid w:val="00C72393"/>
    <w:rsid w:val="00C85792"/>
    <w:rsid w:val="00CF6B47"/>
    <w:rsid w:val="00D05D48"/>
    <w:rsid w:val="00D43443"/>
    <w:rsid w:val="00D57007"/>
    <w:rsid w:val="00D926BD"/>
    <w:rsid w:val="00E35168"/>
    <w:rsid w:val="00EB1F3D"/>
    <w:rsid w:val="00EC27BB"/>
    <w:rsid w:val="00EC3DED"/>
    <w:rsid w:val="00F07ADA"/>
    <w:rsid w:val="00F8093E"/>
    <w:rsid w:val="00FF4A0B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DF76A8"/>
  <w15:chartTrackingRefBased/>
  <w15:docId w15:val="{79B73449-C4EA-4E8E-9CD5-A90302B8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50EB4"/>
    <w:rPr>
      <w:rFonts w:ascii="EYInterstate-Light" w:hAnsi="EYInterstate-Light" w:hint="default"/>
      <w:b w:val="0"/>
      <w:bCs w:val="0"/>
      <w:i w:val="0"/>
      <w:iCs w:val="0"/>
      <w:color w:val="FFFFFF"/>
      <w:sz w:val="20"/>
      <w:szCs w:val="20"/>
    </w:rPr>
  </w:style>
  <w:style w:type="paragraph" w:styleId="ListParagraph">
    <w:name w:val="List Paragraph"/>
    <w:basedOn w:val="Normal"/>
    <w:uiPriority w:val="34"/>
    <w:qFormat/>
    <w:rsid w:val="00033231"/>
    <w:pPr>
      <w:ind w:left="720"/>
      <w:contextualSpacing/>
    </w:pPr>
  </w:style>
  <w:style w:type="character" w:customStyle="1" w:styleId="fontstyle21">
    <w:name w:val="fontstyle21"/>
    <w:basedOn w:val="DefaultParagraphFont"/>
    <w:rsid w:val="00A13559"/>
    <w:rPr>
      <w:rFonts w:ascii="EYInterstate-Light" w:hAnsi="EYInterstate-Light" w:hint="default"/>
      <w:b w:val="0"/>
      <w:bCs w:val="0"/>
      <w:i w:val="0"/>
      <w:iCs w:val="0"/>
      <w:color w:val="2E2E38"/>
      <w:sz w:val="22"/>
      <w:szCs w:val="22"/>
    </w:rPr>
  </w:style>
  <w:style w:type="character" w:customStyle="1" w:styleId="fontstyle31">
    <w:name w:val="fontstyle31"/>
    <w:basedOn w:val="DefaultParagraphFont"/>
    <w:rsid w:val="00820EB7"/>
    <w:rPr>
      <w:rFonts w:ascii="Georgia" w:hAnsi="Georgia" w:hint="default"/>
      <w:b w:val="0"/>
      <w:bCs w:val="0"/>
      <w:i w:val="0"/>
      <w:iCs w:val="0"/>
      <w:color w:val="FFE600"/>
      <w:sz w:val="116"/>
      <w:szCs w:val="116"/>
    </w:rPr>
  </w:style>
  <w:style w:type="paragraph" w:styleId="Header">
    <w:name w:val="header"/>
    <w:basedOn w:val="Normal"/>
    <w:link w:val="HeaderChar"/>
    <w:uiPriority w:val="99"/>
    <w:unhideWhenUsed/>
    <w:rsid w:val="00D57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007"/>
  </w:style>
  <w:style w:type="paragraph" w:styleId="Footer">
    <w:name w:val="footer"/>
    <w:basedOn w:val="Normal"/>
    <w:link w:val="FooterChar"/>
    <w:uiPriority w:val="99"/>
    <w:unhideWhenUsed/>
    <w:rsid w:val="00D57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007"/>
  </w:style>
  <w:style w:type="table" w:customStyle="1" w:styleId="TableGrid">
    <w:name w:val="TableGrid"/>
    <w:rsid w:val="00D57007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3148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Getahun Zenebe</dc:creator>
  <cp:keywords/>
  <dc:description/>
  <cp:lastModifiedBy>Daniel W/Mariam</cp:lastModifiedBy>
  <cp:revision>3</cp:revision>
  <dcterms:created xsi:type="dcterms:W3CDTF">2024-08-01T10:46:00Z</dcterms:created>
  <dcterms:modified xsi:type="dcterms:W3CDTF">2024-08-01T10:47:00Z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3e4bcdab8ddccb25b856b2152768cfea030352b108ec367e80080af613dd4767</vt:lpwstr>
  </property>
</Properties>
</file>